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921" w:rsidRPr="00EE0934" w:rsidRDefault="00F56921" w:rsidP="00F56921">
      <w:pPr>
        <w:jc w:val="center"/>
        <w:rPr>
          <w:rFonts w:ascii="NunitoPOJ" w:eastAsia="標楷體" w:hAnsi="NunitoPOJ"/>
          <w:b/>
          <w:sz w:val="32"/>
          <w:szCs w:val="32"/>
          <w:lang w:val="nl-NL"/>
        </w:rPr>
      </w:pPr>
      <w:r w:rsidRPr="00EE0934">
        <w:rPr>
          <w:rFonts w:ascii="NunitoPOJ" w:eastAsia="標楷體" w:hAnsi="標楷體"/>
          <w:b/>
          <w:sz w:val="32"/>
          <w:szCs w:val="32"/>
          <w:lang w:val="nl-NL"/>
        </w:rPr>
        <w:t>台灣俚諺集覽</w:t>
      </w:r>
      <w:r w:rsidRPr="00EE0934">
        <w:rPr>
          <w:rFonts w:ascii="NunitoPOJ" w:eastAsia="標楷體" w:hAnsi="NunitoPOJ"/>
          <w:b/>
          <w:sz w:val="32"/>
          <w:szCs w:val="32"/>
          <w:lang w:val="nl-NL"/>
        </w:rPr>
        <w:t xml:space="preserve"> </w:t>
      </w:r>
      <w:r>
        <w:rPr>
          <w:rFonts w:ascii="NunitoPOJ" w:eastAsia="標楷體" w:hAnsi="標楷體" w:hint="eastAsia"/>
          <w:b/>
          <w:sz w:val="32"/>
          <w:szCs w:val="32"/>
          <w:lang w:val="nl-NL"/>
        </w:rPr>
        <w:t>範</w:t>
      </w:r>
      <w:r w:rsidRPr="00EE0934">
        <w:rPr>
          <w:rFonts w:ascii="NunitoPOJ" w:eastAsia="標楷體" w:hAnsi="標楷體"/>
          <w:b/>
          <w:sz w:val="32"/>
          <w:szCs w:val="32"/>
          <w:lang w:val="nl-NL"/>
        </w:rPr>
        <w:t>例</w:t>
      </w:r>
    </w:p>
    <w:p w:rsidR="00F56921" w:rsidRPr="00EE0934" w:rsidRDefault="00F56921" w:rsidP="00F56921">
      <w:pPr>
        <w:rPr>
          <w:rFonts w:ascii="NunitoPOJ" w:eastAsia="標楷體" w:hAnsi="NunitoPOJ"/>
          <w:szCs w:val="24"/>
          <w:lang w:val="nl-NL"/>
        </w:rPr>
      </w:pPr>
    </w:p>
    <w:p w:rsidR="00F56921" w:rsidRPr="00EE0934" w:rsidRDefault="00F56921" w:rsidP="00F56921">
      <w:pPr>
        <w:ind w:left="360" w:hangingChars="150" w:hanging="36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 xml:space="preserve">1, </w:t>
      </w:r>
      <w:r w:rsidRPr="00EE0934">
        <w:rPr>
          <w:rFonts w:ascii="NunitoPOJ" w:eastAsia="標楷體" w:hAnsi="標楷體"/>
          <w:szCs w:val="24"/>
          <w:lang w:val="nl-NL"/>
        </w:rPr>
        <w:t>本冊是</w:t>
      </w:r>
      <w:r w:rsidRPr="00EE0934">
        <w:rPr>
          <w:rFonts w:ascii="NunitoPOJ" w:eastAsia="標楷體" w:hAnsi="NunitoPOJ"/>
          <w:szCs w:val="24"/>
          <w:lang w:val="nl-NL"/>
        </w:rPr>
        <w:t>tùi</w:t>
      </w:r>
      <w:r w:rsidRPr="00EE0934">
        <w:rPr>
          <w:rFonts w:ascii="NunitoPOJ" w:eastAsia="標楷體" w:hAnsi="標楷體"/>
          <w:szCs w:val="24"/>
          <w:lang w:val="nl-NL"/>
        </w:rPr>
        <w:t>本島泉州腔</w:t>
      </w:r>
      <w:r w:rsidRPr="00EE0934">
        <w:rPr>
          <w:rFonts w:ascii="NunitoPOJ" w:eastAsia="標楷體" w:hAnsi="NunitoPOJ"/>
          <w:szCs w:val="24"/>
          <w:lang w:val="nl-NL"/>
        </w:rPr>
        <w:t>kah</w:t>
      </w:r>
      <w:r w:rsidRPr="00EE0934">
        <w:rPr>
          <w:rFonts w:ascii="NunitoPOJ" w:eastAsia="標楷體" w:hAnsi="標楷體"/>
          <w:szCs w:val="24"/>
          <w:lang w:val="nl-NL"/>
        </w:rPr>
        <w:t>漳州腔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人中間收集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俚諺，總共有</w:t>
      </w:r>
      <w:r w:rsidRPr="00EE0934">
        <w:rPr>
          <w:rFonts w:ascii="NunitoPOJ" w:eastAsia="標楷體" w:hAnsi="NunitoPOJ"/>
          <w:szCs w:val="24"/>
          <w:lang w:val="nl-NL"/>
        </w:rPr>
        <w:t>4,300 gōa</w:t>
      </w:r>
      <w:r w:rsidRPr="00EE0934">
        <w:rPr>
          <w:rFonts w:ascii="NunitoPOJ" w:eastAsia="標楷體" w:hAnsi="標楷體"/>
          <w:szCs w:val="24"/>
          <w:lang w:val="nl-NL"/>
        </w:rPr>
        <w:t>條，附加解釋。</w:t>
      </w:r>
    </w:p>
    <w:p w:rsidR="00F56921" w:rsidRPr="00EE0934" w:rsidRDefault="00F56921" w:rsidP="00F56921">
      <w:pPr>
        <w:ind w:left="360" w:hangingChars="150" w:hanging="360"/>
        <w:rPr>
          <w:rFonts w:ascii="NunitoPOJ" w:eastAsia="標楷體" w:hAnsi="NunitoPOJ"/>
          <w:szCs w:val="24"/>
          <w:lang w:val="nl-NL"/>
        </w:rPr>
      </w:pPr>
    </w:p>
    <w:p w:rsidR="00F56921" w:rsidRPr="00EE0934" w:rsidRDefault="00F56921" w:rsidP="00F56921">
      <w:pPr>
        <w:ind w:left="360" w:hangingChars="150" w:hanging="36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 xml:space="preserve">2, </w:t>
      </w:r>
      <w:r w:rsidRPr="00EE0934">
        <w:rPr>
          <w:rFonts w:ascii="NunitoPOJ" w:eastAsia="標楷體" w:hAnsi="標楷體"/>
          <w:szCs w:val="24"/>
          <w:lang w:val="nl-NL"/>
        </w:rPr>
        <w:t>本冊</w:t>
      </w:r>
      <w:r w:rsidRPr="00EE0934">
        <w:rPr>
          <w:rFonts w:ascii="NunitoPOJ" w:eastAsia="標楷體" w:hAnsi="NunitoPOJ"/>
          <w:szCs w:val="24"/>
          <w:lang w:val="nl-NL"/>
        </w:rPr>
        <w:t>m̄nā</w:t>
      </w:r>
      <w:r w:rsidRPr="00EE0934">
        <w:rPr>
          <w:rFonts w:ascii="NunitoPOJ" w:eastAsia="標楷體" w:hAnsi="標楷體"/>
          <w:szCs w:val="24"/>
          <w:lang w:val="nl-NL"/>
        </w:rPr>
        <w:t>限定嚴肅意義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俚諺，譬喻講常用語、故事、民間傳說、地頭隱語</w:t>
      </w:r>
      <w:r w:rsidRPr="00EE0934">
        <w:rPr>
          <w:rFonts w:ascii="NunitoPOJ" w:eastAsia="標楷體" w:hAnsi="NunitoPOJ"/>
          <w:szCs w:val="24"/>
          <w:lang w:val="nl-NL"/>
        </w:rPr>
        <w:t>kah</w:t>
      </w:r>
      <w:r w:rsidRPr="00EE0934">
        <w:rPr>
          <w:rFonts w:ascii="NunitoPOJ" w:eastAsia="標楷體" w:hAnsi="標楷體"/>
          <w:szCs w:val="24"/>
          <w:lang w:val="nl-NL"/>
        </w:rPr>
        <w:t>奇怪名</w:t>
      </w:r>
      <w:r w:rsidRPr="00EE0934">
        <w:rPr>
          <w:rFonts w:ascii="NunitoPOJ" w:eastAsia="標楷體" w:hAnsi="NunitoPOJ"/>
          <w:szCs w:val="24"/>
          <w:lang w:val="nl-NL"/>
        </w:rPr>
        <w:t>mā lóng</w:t>
      </w:r>
      <w:r w:rsidRPr="00EE0934">
        <w:rPr>
          <w:rFonts w:ascii="NunitoPOJ" w:eastAsia="標楷體" w:hAnsi="標楷體"/>
          <w:szCs w:val="24"/>
          <w:lang w:val="nl-NL"/>
        </w:rPr>
        <w:t>有收入。</w:t>
      </w:r>
    </w:p>
    <w:p w:rsidR="00F56921" w:rsidRPr="00EE0934" w:rsidRDefault="00F56921" w:rsidP="00F56921">
      <w:pPr>
        <w:ind w:left="360" w:hangingChars="150" w:hanging="360"/>
        <w:rPr>
          <w:rFonts w:ascii="NunitoPOJ" w:eastAsia="標楷體" w:hAnsi="NunitoPOJ"/>
          <w:szCs w:val="24"/>
          <w:lang w:val="nl-NL"/>
        </w:rPr>
      </w:pPr>
    </w:p>
    <w:p w:rsidR="00F56921" w:rsidRPr="00EE0934" w:rsidRDefault="00F56921" w:rsidP="00F56921">
      <w:pPr>
        <w:ind w:left="360" w:hangingChars="150" w:hanging="36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 xml:space="preserve">3, </w:t>
      </w:r>
      <w:r w:rsidRPr="00EE0934">
        <w:rPr>
          <w:rFonts w:ascii="NunitoPOJ" w:eastAsia="標楷體" w:hAnsi="標楷體"/>
          <w:szCs w:val="24"/>
          <w:lang w:val="nl-NL"/>
        </w:rPr>
        <w:t>本冊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發音是以廈門話為主做標準，因為廈門話是</w:t>
      </w:r>
      <w:r w:rsidRPr="00EE0934">
        <w:rPr>
          <w:rFonts w:ascii="NunitoPOJ" w:eastAsia="標楷體" w:hAnsi="NunitoPOJ"/>
          <w:szCs w:val="24"/>
          <w:lang w:val="nl-NL"/>
        </w:rPr>
        <w:t>thàulām</w:t>
      </w:r>
      <w:r w:rsidRPr="00EE0934">
        <w:rPr>
          <w:rFonts w:ascii="NunitoPOJ" w:eastAsia="標楷體" w:hAnsi="標楷體"/>
          <w:szCs w:val="24"/>
          <w:lang w:val="nl-NL"/>
        </w:rPr>
        <w:t>泉州腔</w:t>
      </w:r>
      <w:r w:rsidRPr="00EE0934">
        <w:rPr>
          <w:rFonts w:ascii="NunitoPOJ" w:eastAsia="標楷體" w:hAnsi="NunitoPOJ"/>
          <w:szCs w:val="24"/>
          <w:lang w:val="nl-NL"/>
        </w:rPr>
        <w:t>kah</w:t>
      </w:r>
      <w:r w:rsidRPr="00EE0934">
        <w:rPr>
          <w:rFonts w:ascii="NunitoPOJ" w:eastAsia="標楷體" w:hAnsi="標楷體"/>
          <w:szCs w:val="24"/>
          <w:lang w:val="nl-NL"/>
        </w:rPr>
        <w:t>漳州腔，兼有兩者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特質，附加日語五十音假名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標音，方便讀出台語音。（台譯版採用台灣目前</w:t>
      </w:r>
      <w:r w:rsidRPr="00EE0934">
        <w:rPr>
          <w:rFonts w:ascii="NunitoPOJ" w:eastAsia="標楷體" w:hAnsi="NunitoPOJ"/>
          <w:szCs w:val="24"/>
          <w:lang w:val="nl-NL"/>
        </w:rPr>
        <w:t>khah chē</w:t>
      </w:r>
      <w:r w:rsidRPr="00EE0934">
        <w:rPr>
          <w:rFonts w:ascii="NunitoPOJ" w:eastAsia="標楷體" w:hAnsi="標楷體"/>
          <w:szCs w:val="24"/>
          <w:lang w:val="nl-NL"/>
        </w:rPr>
        <w:t>人講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普遍腔</w:t>
      </w:r>
      <w:r w:rsidRPr="00EE0934">
        <w:rPr>
          <w:rFonts w:ascii="NunitoPOJ" w:eastAsia="標楷體" w:hAnsi="NunitoPOJ"/>
          <w:szCs w:val="24"/>
          <w:lang w:val="nl-NL"/>
        </w:rPr>
        <w:t>—</w:t>
      </w:r>
      <w:r w:rsidRPr="00EE0934">
        <w:rPr>
          <w:rFonts w:ascii="NunitoPOJ" w:eastAsia="標楷體" w:hAnsi="標楷體"/>
          <w:szCs w:val="24"/>
          <w:lang w:val="nl-NL"/>
        </w:rPr>
        <w:t>以高雄市為中心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中南部腔）</w:t>
      </w:r>
    </w:p>
    <w:p w:rsidR="00F56921" w:rsidRPr="00EE0934" w:rsidRDefault="00F56921" w:rsidP="00F56921">
      <w:pPr>
        <w:ind w:left="360" w:hangingChars="150" w:hanging="360"/>
        <w:rPr>
          <w:rFonts w:ascii="NunitoPOJ" w:eastAsia="標楷體" w:hAnsi="NunitoPOJ"/>
          <w:szCs w:val="24"/>
          <w:lang w:val="nl-NL"/>
        </w:rPr>
      </w:pPr>
    </w:p>
    <w:p w:rsidR="00F56921" w:rsidRPr="00EE0934" w:rsidRDefault="00F56921" w:rsidP="00F56921">
      <w:pPr>
        <w:ind w:left="360" w:hangingChars="150" w:hanging="36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 xml:space="preserve">4, </w:t>
      </w:r>
      <w:r w:rsidRPr="00EE0934">
        <w:rPr>
          <w:rFonts w:ascii="NunitoPOJ" w:eastAsia="標楷體" w:hAnsi="標楷體"/>
          <w:szCs w:val="24"/>
          <w:lang w:val="nl-NL"/>
        </w:rPr>
        <w:t>本冊採用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符號假名</w:t>
      </w:r>
      <w:r w:rsidRPr="00EE0934">
        <w:rPr>
          <w:rFonts w:ascii="NunitoPOJ" w:eastAsia="標楷體" w:hAnsi="NunitoPOJ"/>
          <w:szCs w:val="24"/>
          <w:lang w:val="nl-NL"/>
        </w:rPr>
        <w:t>kah</w:t>
      </w:r>
      <w:r w:rsidRPr="00EE0934">
        <w:rPr>
          <w:rFonts w:ascii="NunitoPOJ" w:eastAsia="標楷體" w:hAnsi="標楷體"/>
          <w:szCs w:val="24"/>
          <w:lang w:val="nl-NL"/>
        </w:rPr>
        <w:t>其發音如下：（請參考台語信望愛網站「《台日大辭典》</w:t>
      </w:r>
      <w:hyperlink r:id="rId5" w:history="1">
        <w:r w:rsidRPr="00EE0934">
          <w:rPr>
            <w:rStyle w:val="ae"/>
            <w:rFonts w:ascii="NunitoPOJ" w:eastAsia="標楷體" w:hAnsi="NunitoPOJ"/>
            <w:color w:val="auto"/>
            <w:szCs w:val="24"/>
            <w:lang w:val="nl-NL"/>
          </w:rPr>
          <w:t>https://taigi.fhl.net/dict/</w:t>
        </w:r>
      </w:hyperlink>
      <w:r w:rsidRPr="00EE0934">
        <w:rPr>
          <w:rFonts w:ascii="NunitoPOJ" w:eastAsia="標楷體" w:hAnsi="NunitoPOJ"/>
          <w:szCs w:val="24"/>
          <w:lang w:val="nl-NL"/>
        </w:rPr>
        <w:t xml:space="preserve"> ê</w:t>
      </w:r>
      <w:r w:rsidRPr="00EE0934">
        <w:rPr>
          <w:rFonts w:ascii="NunitoPOJ" w:eastAsia="標楷體" w:hAnsi="標楷體"/>
          <w:szCs w:val="24"/>
          <w:lang w:val="nl-NL"/>
        </w:rPr>
        <w:t>「索引羅馬字對照表」）。</w:t>
      </w:r>
    </w:p>
    <w:p w:rsidR="00F56921" w:rsidRPr="00EE0934" w:rsidRDefault="00F56921" w:rsidP="00F56921">
      <w:pPr>
        <w:ind w:left="360" w:hangingChars="150" w:hanging="360"/>
        <w:rPr>
          <w:rFonts w:ascii="NunitoPOJ" w:eastAsia="標楷體" w:hAnsi="NunitoPOJ"/>
          <w:szCs w:val="24"/>
          <w:lang w:val="nl-NL"/>
        </w:rPr>
      </w:pPr>
    </w:p>
    <w:p w:rsidR="00F56921" w:rsidRPr="00EE0934" w:rsidRDefault="00F56921" w:rsidP="00F56921">
      <w:pPr>
        <w:ind w:left="360" w:hangingChars="150" w:hanging="36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 xml:space="preserve">5, </w:t>
      </w:r>
      <w:r w:rsidRPr="00EE0934">
        <w:rPr>
          <w:rFonts w:ascii="NunitoPOJ" w:eastAsia="標楷體" w:hAnsi="標楷體"/>
          <w:szCs w:val="24"/>
          <w:lang w:val="nl-NL"/>
        </w:rPr>
        <w:t>俚諺排列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順序是，先照句中所含主要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語詞</w:t>
      </w:r>
      <w:r w:rsidRPr="00EE0934">
        <w:rPr>
          <w:rFonts w:ascii="NunitoPOJ" w:eastAsia="標楷體" w:hAnsi="NunitoPOJ"/>
          <w:szCs w:val="24"/>
          <w:lang w:val="nl-NL"/>
        </w:rPr>
        <w:t>kah</w:t>
      </w:r>
      <w:r w:rsidRPr="00EE0934">
        <w:rPr>
          <w:rFonts w:ascii="NunitoPOJ" w:eastAsia="標楷體" w:hAnsi="標楷體"/>
          <w:szCs w:val="24"/>
          <w:lang w:val="nl-NL"/>
        </w:rPr>
        <w:t>意義為基礎，分類做</w:t>
      </w:r>
      <w:r w:rsidRPr="00EE0934">
        <w:rPr>
          <w:rFonts w:ascii="NunitoPOJ" w:eastAsia="標楷體" w:hAnsi="NunitoPOJ"/>
          <w:szCs w:val="24"/>
          <w:lang w:val="nl-NL"/>
        </w:rPr>
        <w:t>20</w:t>
      </w:r>
      <w:r w:rsidRPr="00EE0934">
        <w:rPr>
          <w:rFonts w:ascii="NunitoPOJ" w:eastAsia="標楷體" w:hAnsi="標楷體"/>
          <w:szCs w:val="24"/>
          <w:lang w:val="nl-NL"/>
        </w:rPr>
        <w:t>篇</w:t>
      </w:r>
      <w:r w:rsidRPr="00EE0934">
        <w:rPr>
          <w:rFonts w:ascii="NunitoPOJ" w:eastAsia="標楷體" w:hAnsi="NunitoPOJ"/>
          <w:szCs w:val="24"/>
          <w:lang w:val="nl-NL"/>
        </w:rPr>
        <w:t>139</w:t>
      </w:r>
      <w:r w:rsidRPr="00EE0934">
        <w:rPr>
          <w:rFonts w:ascii="NunitoPOJ" w:eastAsia="標楷體" w:hAnsi="標楷體"/>
          <w:szCs w:val="24"/>
          <w:lang w:val="nl-NL"/>
        </w:rPr>
        <w:t>部。仝部內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順序</w:t>
      </w:r>
      <w:r w:rsidRPr="00EE0934">
        <w:rPr>
          <w:rFonts w:ascii="NunitoPOJ" w:eastAsia="標楷體" w:hAnsi="NunitoPOJ"/>
          <w:szCs w:val="24"/>
          <w:lang w:val="nl-NL"/>
        </w:rPr>
        <w:t>to̍h</w:t>
      </w:r>
      <w:r w:rsidRPr="00EE0934">
        <w:rPr>
          <w:rFonts w:ascii="NunitoPOJ" w:eastAsia="標楷體" w:hAnsi="標楷體"/>
          <w:szCs w:val="24"/>
          <w:lang w:val="nl-NL"/>
        </w:rPr>
        <w:t>照下面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規則來排：</w:t>
      </w:r>
    </w:p>
    <w:p w:rsidR="00F56921" w:rsidRPr="00EE0934" w:rsidRDefault="00F56921" w:rsidP="00F56921">
      <w:pPr>
        <w:pStyle w:val="a9"/>
        <w:numPr>
          <w:ilvl w:val="0"/>
          <w:numId w:val="1"/>
        </w:numPr>
        <w:contextualSpacing w:val="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標楷體"/>
          <w:szCs w:val="24"/>
          <w:lang w:val="nl-NL"/>
        </w:rPr>
        <w:t>發音假名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頭一字</w:t>
      </w:r>
      <w:r w:rsidRPr="00EE0934">
        <w:rPr>
          <w:rFonts w:ascii="標楷體" w:eastAsia="標楷體" w:hAnsi="標楷體"/>
          <w:szCs w:val="24"/>
          <w:lang w:val="nl-NL"/>
        </w:rPr>
        <w:t>→</w:t>
      </w:r>
      <w:r w:rsidRPr="00EE0934">
        <w:rPr>
          <w:rFonts w:ascii="NunitoPOJ" w:eastAsia="標楷體" w:hAnsi="標楷體"/>
          <w:szCs w:val="24"/>
          <w:lang w:val="nl-NL"/>
        </w:rPr>
        <w:t>第二字</w:t>
      </w:r>
      <w:r w:rsidRPr="00EE0934">
        <w:rPr>
          <w:rFonts w:ascii="標楷體" w:eastAsia="標楷體" w:hAnsi="標楷體"/>
          <w:szCs w:val="24"/>
          <w:lang w:val="nl-NL"/>
        </w:rPr>
        <w:t>→</w:t>
      </w:r>
      <w:r w:rsidRPr="00EE0934">
        <w:rPr>
          <w:rFonts w:ascii="NunitoPOJ" w:eastAsia="標楷體" w:hAnsi="標楷體"/>
          <w:szCs w:val="24"/>
          <w:lang w:val="nl-NL"/>
        </w:rPr>
        <w:t>第三字</w:t>
      </w:r>
      <w:r w:rsidRPr="00EE0934">
        <w:rPr>
          <w:rFonts w:ascii="NunitoPOJ" w:eastAsia="標楷體" w:hAnsi="NunitoPOJ"/>
          <w:szCs w:val="24"/>
          <w:lang w:val="nl-NL"/>
        </w:rPr>
        <w:t>....</w:t>
      </w:r>
      <w:r w:rsidRPr="00EE0934">
        <w:rPr>
          <w:rFonts w:ascii="NunitoPOJ" w:eastAsia="標楷體" w:hAnsi="標楷體"/>
          <w:szCs w:val="24"/>
          <w:lang w:val="nl-NL"/>
        </w:rPr>
        <w:t>大體是照五十音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順序。</w:t>
      </w:r>
    </w:p>
    <w:p w:rsidR="00F56921" w:rsidRPr="00EE0934" w:rsidRDefault="00F56921" w:rsidP="00F56921">
      <w:pPr>
        <w:pStyle w:val="a9"/>
        <w:numPr>
          <w:ilvl w:val="0"/>
          <w:numId w:val="1"/>
        </w:numPr>
        <w:contextualSpacing w:val="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標楷體"/>
          <w:szCs w:val="24"/>
          <w:lang w:val="nl-NL"/>
        </w:rPr>
        <w:t>所謂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濁音、半濁音</w:t>
      </w:r>
      <w:r w:rsidRPr="00EE0934">
        <w:rPr>
          <w:rFonts w:ascii="NunitoPOJ" w:eastAsia="標楷體" w:hAnsi="NunitoPOJ"/>
          <w:szCs w:val="24"/>
          <w:lang w:val="nl-NL"/>
        </w:rPr>
        <w:t>kah</w:t>
      </w:r>
      <w:r w:rsidRPr="00EE0934">
        <w:rPr>
          <w:rFonts w:ascii="NunitoPOJ" w:eastAsia="標楷體" w:hAnsi="標楷體"/>
          <w:szCs w:val="24"/>
          <w:lang w:val="nl-NL"/>
        </w:rPr>
        <w:t>出氣音</w:t>
      </w:r>
      <w:r w:rsidRPr="00EE0934">
        <w:rPr>
          <w:rFonts w:ascii="NunitoPOJ" w:eastAsia="標楷體" w:hAnsi="NunitoPOJ"/>
          <w:szCs w:val="24"/>
          <w:lang w:val="nl-NL"/>
        </w:rPr>
        <w:t>to̍h</w:t>
      </w:r>
      <w:r w:rsidRPr="00EE0934">
        <w:rPr>
          <w:rFonts w:ascii="NunitoPOJ" w:eastAsia="標楷體" w:hAnsi="標楷體"/>
          <w:szCs w:val="24"/>
          <w:lang w:val="nl-NL"/>
        </w:rPr>
        <w:t>照其原假名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順序；仝一个假名</w:t>
      </w:r>
      <w:r w:rsidRPr="00EE0934">
        <w:rPr>
          <w:rFonts w:ascii="NunitoPOJ" w:eastAsia="標楷體" w:hAnsi="NunitoPOJ"/>
          <w:szCs w:val="24"/>
          <w:lang w:val="nl-NL"/>
        </w:rPr>
        <w:t>to̍h</w:t>
      </w:r>
      <w:r w:rsidRPr="00EE0934">
        <w:rPr>
          <w:rFonts w:ascii="NunitoPOJ" w:eastAsia="標楷體" w:hAnsi="標楷體"/>
          <w:szCs w:val="24"/>
          <w:lang w:val="nl-NL"/>
        </w:rPr>
        <w:t>照聲調八音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順序。</w:t>
      </w:r>
    </w:p>
    <w:p w:rsidR="00F56921" w:rsidRPr="00EE0934" w:rsidRDefault="00F56921" w:rsidP="00F56921">
      <w:pPr>
        <w:pStyle w:val="a9"/>
        <w:numPr>
          <w:ilvl w:val="0"/>
          <w:numId w:val="1"/>
        </w:numPr>
        <w:contextualSpacing w:val="0"/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標楷體"/>
          <w:szCs w:val="24"/>
          <w:lang w:val="nl-NL"/>
        </w:rPr>
        <w:t>本文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解釋大體先照原文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大意翻譯，必要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時</w:t>
      </w:r>
      <w:r w:rsidRPr="00EE0934">
        <w:rPr>
          <w:rFonts w:ascii="NunitoPOJ" w:eastAsia="標楷體" w:hAnsi="NunitoPOJ"/>
          <w:szCs w:val="24"/>
          <w:lang w:val="nl-NL"/>
        </w:rPr>
        <w:t>to̍h</w:t>
      </w:r>
      <w:r w:rsidRPr="00EE0934">
        <w:rPr>
          <w:rFonts w:ascii="NunitoPOJ" w:eastAsia="標楷體" w:hAnsi="標楷體"/>
          <w:szCs w:val="24"/>
          <w:lang w:val="nl-NL"/>
        </w:rPr>
        <w:t>做</w:t>
      </w:r>
      <w:r w:rsidRPr="00EE0934">
        <w:rPr>
          <w:rFonts w:ascii="NunitoPOJ" w:eastAsia="標楷體" w:hAnsi="NunitoPOJ"/>
          <w:szCs w:val="24"/>
          <w:lang w:val="nl-NL"/>
        </w:rPr>
        <w:t>khah</w:t>
      </w:r>
      <w:r w:rsidRPr="00EE0934">
        <w:rPr>
          <w:rFonts w:ascii="NunitoPOJ" w:eastAsia="標楷體" w:hAnsi="標楷體"/>
          <w:szCs w:val="24"/>
          <w:lang w:val="nl-NL"/>
        </w:rPr>
        <w:t>詳細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說明，</w:t>
      </w:r>
      <w:r w:rsidRPr="00EE0934">
        <w:rPr>
          <w:rFonts w:ascii="NunitoPOJ" w:eastAsia="標楷體" w:hAnsi="NunitoPOJ"/>
          <w:szCs w:val="24"/>
          <w:lang w:val="nl-NL"/>
        </w:rPr>
        <w:t>mā</w:t>
      </w:r>
      <w:r w:rsidRPr="00EE0934">
        <w:rPr>
          <w:rFonts w:ascii="NunitoPOJ" w:eastAsia="標楷體" w:hAnsi="標楷體"/>
          <w:szCs w:val="24"/>
          <w:lang w:val="nl-NL"/>
        </w:rPr>
        <w:t>有標記其出處；若有</w:t>
      </w:r>
      <w:r w:rsidRPr="00EE0934">
        <w:rPr>
          <w:rFonts w:ascii="NunitoPOJ" w:eastAsia="標楷體" w:hAnsi="NunitoPOJ"/>
          <w:szCs w:val="24"/>
          <w:lang w:val="nl-NL"/>
        </w:rPr>
        <w:t>kah</w:t>
      </w:r>
      <w:r w:rsidRPr="00EE0934">
        <w:rPr>
          <w:rFonts w:ascii="NunitoPOJ" w:eastAsia="標楷體" w:hAnsi="標楷體"/>
          <w:szCs w:val="24"/>
          <w:lang w:val="nl-NL"/>
        </w:rPr>
        <w:t>日本俚諺類似，</w:t>
      </w:r>
      <w:r w:rsidRPr="00EE0934">
        <w:rPr>
          <w:rFonts w:ascii="NunitoPOJ" w:eastAsia="標楷體" w:hAnsi="NunitoPOJ"/>
          <w:szCs w:val="24"/>
          <w:lang w:val="nl-NL"/>
        </w:rPr>
        <w:t>to̍h</w:t>
      </w:r>
      <w:r w:rsidRPr="00EE0934">
        <w:rPr>
          <w:rFonts w:ascii="NunitoPOJ" w:eastAsia="標楷體" w:hAnsi="標楷體"/>
          <w:szCs w:val="24"/>
          <w:lang w:val="nl-NL"/>
        </w:rPr>
        <w:t>盡量列出對照。</w:t>
      </w:r>
    </w:p>
    <w:p w:rsidR="00F56921" w:rsidRPr="00EE0934" w:rsidRDefault="00F56921" w:rsidP="00F56921">
      <w:pPr>
        <w:rPr>
          <w:rFonts w:ascii="NunitoPOJ" w:eastAsia="標楷體" w:hAnsi="NunitoPOJ"/>
          <w:szCs w:val="24"/>
          <w:lang w:val="nl-NL"/>
        </w:rPr>
      </w:pPr>
    </w:p>
    <w:p w:rsidR="00F56921" w:rsidRPr="00EE0934" w:rsidRDefault="00F56921" w:rsidP="00F56921">
      <w:pPr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 xml:space="preserve">6, </w:t>
      </w:r>
      <w:r w:rsidRPr="00EE0934">
        <w:rPr>
          <w:rFonts w:ascii="NunitoPOJ" w:eastAsia="標楷體" w:hAnsi="標楷體"/>
          <w:szCs w:val="24"/>
          <w:lang w:val="nl-NL"/>
        </w:rPr>
        <w:t>本冊後面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所在有五十音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索引，</w:t>
      </w:r>
      <w:r w:rsidRPr="00EE0934">
        <w:rPr>
          <w:rFonts w:ascii="NunitoPOJ" w:eastAsia="標楷體" w:hAnsi="NunitoPOJ"/>
          <w:szCs w:val="24"/>
          <w:lang w:val="nl-NL"/>
        </w:rPr>
        <w:t>thang</w:t>
      </w:r>
      <w:r w:rsidRPr="00EE0934">
        <w:rPr>
          <w:rFonts w:ascii="NunitoPOJ" w:eastAsia="標楷體" w:hAnsi="標楷體"/>
          <w:szCs w:val="24"/>
          <w:lang w:val="nl-NL"/>
        </w:rPr>
        <w:t>方便查尋俚諺。</w:t>
      </w:r>
    </w:p>
    <w:p w:rsidR="00F56921" w:rsidRPr="00EE0934" w:rsidRDefault="00F56921" w:rsidP="00F56921">
      <w:pPr>
        <w:rPr>
          <w:rFonts w:ascii="NunitoPOJ" w:eastAsia="標楷體" w:hAnsi="NunitoPOJ"/>
          <w:szCs w:val="24"/>
          <w:lang w:val="nl-NL"/>
        </w:rPr>
      </w:pPr>
    </w:p>
    <w:p w:rsidR="00F56921" w:rsidRPr="00EE0934" w:rsidRDefault="00F56921" w:rsidP="00F56921">
      <w:pPr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 xml:space="preserve">7, </w:t>
      </w:r>
      <w:r w:rsidRPr="00EE0934">
        <w:rPr>
          <w:rFonts w:ascii="NunitoPOJ" w:eastAsia="標楷體" w:hAnsi="標楷體"/>
          <w:szCs w:val="24"/>
          <w:lang w:val="nl-NL"/>
        </w:rPr>
        <w:t>本冊</w:t>
      </w:r>
      <w:r w:rsidRPr="00EE0934">
        <w:rPr>
          <w:rFonts w:ascii="NunitoPOJ" w:eastAsia="標楷體" w:hAnsi="NunitoPOJ"/>
          <w:szCs w:val="24"/>
          <w:lang w:val="nl-NL"/>
        </w:rPr>
        <w:t>ê</w:t>
      </w:r>
      <w:r w:rsidRPr="00EE0934">
        <w:rPr>
          <w:rFonts w:ascii="NunitoPOJ" w:eastAsia="標楷體" w:hAnsi="標楷體"/>
          <w:szCs w:val="24"/>
          <w:lang w:val="nl-NL"/>
        </w:rPr>
        <w:t>編纂以編修書記平澤平七為主，有本島人蔡啓華、潘濟堂、陳清輝協助，</w:t>
      </w:r>
      <w:r w:rsidRPr="00EE0934">
        <w:rPr>
          <w:rFonts w:ascii="NunitoPOJ" w:eastAsia="標楷體" w:hAnsi="NunitoPOJ"/>
          <w:szCs w:val="24"/>
          <w:lang w:val="nl-NL"/>
        </w:rPr>
        <w:t>koh</w:t>
      </w:r>
      <w:r w:rsidRPr="00EE0934">
        <w:rPr>
          <w:rFonts w:ascii="NunitoPOJ" w:eastAsia="標楷體" w:hAnsi="標楷體"/>
          <w:szCs w:val="24"/>
          <w:lang w:val="nl-NL"/>
        </w:rPr>
        <w:t>有小川尚義校閱。</w:t>
      </w:r>
    </w:p>
    <w:p w:rsidR="00F56921" w:rsidRPr="00EE0934" w:rsidRDefault="00F56921" w:rsidP="00F56921">
      <w:pPr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>
        <w:rPr>
          <w:rFonts w:ascii="NunitoPOJ" w:eastAsia="標楷體" w:hAnsi="NunitoPOJ" w:hint="eastAsia"/>
          <w:szCs w:val="24"/>
          <w:lang w:val="nl-NL"/>
        </w:rPr>
        <w:t xml:space="preserve">    </w:t>
      </w:r>
      <w:r w:rsidRPr="00EE0934">
        <w:rPr>
          <w:rFonts w:ascii="NunitoPOJ" w:eastAsia="標楷體" w:hAnsi="標楷體"/>
          <w:szCs w:val="24"/>
          <w:lang w:val="nl-NL"/>
        </w:rPr>
        <w:t>大正三年（</w:t>
      </w:r>
      <w:r w:rsidRPr="00EE0934">
        <w:rPr>
          <w:rFonts w:ascii="NunitoPOJ" w:eastAsia="標楷體" w:hAnsi="標楷體"/>
          <w:szCs w:val="24"/>
          <w:lang w:val="nl-NL"/>
        </w:rPr>
        <w:t>1914</w:t>
      </w:r>
      <w:r w:rsidRPr="00EE0934">
        <w:rPr>
          <w:rFonts w:ascii="NunitoPOJ" w:eastAsia="標楷體" w:hAnsi="標楷體"/>
          <w:szCs w:val="24"/>
          <w:lang w:val="nl-NL"/>
        </w:rPr>
        <w:t>）</w:t>
      </w:r>
      <w:r w:rsidRPr="00EE0934">
        <w:rPr>
          <w:rFonts w:ascii="NunitoPOJ" w:eastAsia="標楷體" w:hAnsi="NunitoPOJ"/>
          <w:szCs w:val="24"/>
          <w:lang w:val="nl-NL"/>
        </w:rPr>
        <w:t>3</w:t>
      </w:r>
      <w:r w:rsidRPr="00EE0934">
        <w:rPr>
          <w:rFonts w:ascii="NunitoPOJ" w:eastAsia="標楷體" w:hAnsi="標楷體"/>
          <w:szCs w:val="24"/>
          <w:lang w:val="nl-NL"/>
        </w:rPr>
        <w:t>月</w:t>
      </w:r>
    </w:p>
    <w:p w:rsidR="00F56921" w:rsidRPr="00EE0934" w:rsidRDefault="00F56921" w:rsidP="00F56921">
      <w:pPr>
        <w:rPr>
          <w:rFonts w:ascii="NunitoPOJ" w:eastAsia="標楷體" w:hAnsi="NunitoPOJ"/>
          <w:szCs w:val="24"/>
          <w:lang w:val="nl-NL"/>
        </w:rPr>
      </w:pP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 w:rsidRPr="00EE0934">
        <w:rPr>
          <w:rFonts w:ascii="NunitoPOJ" w:eastAsia="標楷體" w:hAnsi="NunitoPOJ"/>
          <w:szCs w:val="24"/>
          <w:lang w:val="nl-NL"/>
        </w:rPr>
        <w:tab/>
      </w:r>
      <w:r>
        <w:rPr>
          <w:rFonts w:ascii="NunitoPOJ" w:eastAsia="標楷體" w:hAnsi="NunitoPOJ" w:hint="eastAsia"/>
          <w:szCs w:val="24"/>
          <w:lang w:val="nl-NL"/>
        </w:rPr>
        <w:t xml:space="preserve">              </w:t>
      </w:r>
      <w:r w:rsidRPr="00EE0934">
        <w:rPr>
          <w:rFonts w:ascii="NunitoPOJ" w:eastAsia="標楷體" w:hAnsi="標楷體"/>
          <w:szCs w:val="24"/>
          <w:lang w:val="nl-NL"/>
        </w:rPr>
        <w:t>台灣總督府</w:t>
      </w:r>
    </w:p>
    <w:p w:rsidR="00A113DB" w:rsidRPr="00F56921" w:rsidRDefault="00A113DB">
      <w:pPr>
        <w:rPr>
          <w:lang w:val="nl-NL"/>
        </w:rPr>
      </w:pPr>
    </w:p>
    <w:sectPr w:rsidR="00A113DB" w:rsidRPr="00F569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POJ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C1B"/>
    <w:multiLevelType w:val="hybridMultilevel"/>
    <w:tmpl w:val="56F43FF0"/>
    <w:lvl w:ilvl="0" w:tplc="D9D8C3A0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num w:numId="1" w16cid:durableId="69219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21"/>
    <w:rsid w:val="008551C7"/>
    <w:rsid w:val="008732E2"/>
    <w:rsid w:val="00A113DB"/>
    <w:rsid w:val="00A86DC2"/>
    <w:rsid w:val="00DD6E6E"/>
    <w:rsid w:val="00E22305"/>
    <w:rsid w:val="00F56921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7D5F"/>
  <w15:chartTrackingRefBased/>
  <w15:docId w15:val="{B7501D65-A1DD-4AD1-8E28-484F8CFA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921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F56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921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921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9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92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92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92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92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692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69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6921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69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6921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692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692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692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69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9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6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6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92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9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692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F56921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569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aigi.fhl.net/di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Chuniok</dc:creator>
  <cp:keywords/>
  <dc:description/>
  <cp:lastModifiedBy>Lim Chuniok</cp:lastModifiedBy>
  <cp:revision>1</cp:revision>
  <dcterms:created xsi:type="dcterms:W3CDTF">2026-01-18T14:59:00Z</dcterms:created>
  <dcterms:modified xsi:type="dcterms:W3CDTF">2026-01-18T15:00:00Z</dcterms:modified>
</cp:coreProperties>
</file>